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Kumla kommunfullmäktige</w:t>
      </w:r>
    </w:p>
    <w:p>
      <w:pPr>
        <w:pStyle w:val="Heading1"/>
      </w:pPr>
      <w:r>
        <w:t xml:space="preserve">Blandade upplåtelseformer vid nyproduktion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Kumla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Kumla behöver fler bostäder med blandning av hyresrätt, bostadsrätt och äganderätt för att möta olika behov och främja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Kumla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Kumla kommunfullmäktige beslutar att kräva minst 30 % hyresrätter i alla nya detaljplaner över 20 bostäder.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Kumla kommunfullmäktige beslutar att prioritera markanvisningar som inkluderar blandade upplåtelseformer.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Kumla kommunfullmäktige beslutar att korta planprocessen till max 18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Kumla kommunfullmäktige beslutar att redovisa bostadsproduktion per upplåtelseform årligen.</w:t>
      </w:r>
    </w:p>
    <w:p>
      <w:pPr>
        <w:spacing w:before="360"/>
      </w:pPr>
    </w:p>
    <w:p>
      <w:r>
        <w:t xml:space="preserve">Kumla,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Kumla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2026-07-14T04:00:40.002Z</dcterms:created>
  <dcterms:modified xsi:type="dcterms:W3CDTF">2026-07-14T04:00:40.002Z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